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F6D80" w14:textId="77777777" w:rsidR="00E01A0E" w:rsidRPr="00E3165D" w:rsidRDefault="00E01A0E" w:rsidP="00E01A0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>Bogotá, DC. 0</w:t>
      </w:r>
      <w:r>
        <w:rPr>
          <w:rFonts w:ascii="Arial" w:hAnsi="Arial" w:cs="Arial"/>
          <w:b/>
          <w:bCs/>
          <w:sz w:val="24"/>
          <w:szCs w:val="24"/>
          <w:lang w:val="es-ES"/>
        </w:rPr>
        <w:t>5</w:t>
      </w: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 de junio 2025</w:t>
      </w:r>
    </w:p>
    <w:p w14:paraId="00489AE6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C6B2365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H. Senador</w:t>
      </w:r>
    </w:p>
    <w:p w14:paraId="3539E296" w14:textId="6B35EB00" w:rsidR="00E01A0E" w:rsidRDefault="00E01A0E" w:rsidP="00E01A0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Efraín Cepeda</w:t>
      </w:r>
      <w:r w:rsidR="00E82095">
        <w:rPr>
          <w:rFonts w:ascii="Arial" w:hAnsi="Arial" w:cs="Arial"/>
          <w:b/>
          <w:bCs/>
          <w:sz w:val="24"/>
          <w:szCs w:val="24"/>
          <w:lang w:val="es-ES"/>
        </w:rPr>
        <w:t xml:space="preserve"> Sarabia</w:t>
      </w:r>
    </w:p>
    <w:p w14:paraId="08B67754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Presidente</w:t>
      </w:r>
    </w:p>
    <w:p w14:paraId="5B0C7508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 de la República</w:t>
      </w:r>
    </w:p>
    <w:p w14:paraId="07F2917F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Ciudad</w:t>
      </w:r>
    </w:p>
    <w:p w14:paraId="7FC46397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2C2D8960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69FBE28B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Con fundamento en lo contemplado en la Ley 5 de 1992 y las normas concordantes, presento la siguiente proposición: </w:t>
      </w:r>
    </w:p>
    <w:p w14:paraId="3A9DDB36" w14:textId="77777777" w:rsidR="00E01A0E" w:rsidRPr="00E01A0E" w:rsidRDefault="00E01A0E" w:rsidP="00E01A0E">
      <w:pPr>
        <w:ind w:left="720" w:hanging="360"/>
        <w:jc w:val="center"/>
        <w:rPr>
          <w:lang w:val="es-ES"/>
        </w:rPr>
      </w:pPr>
    </w:p>
    <w:p w14:paraId="011E8490" w14:textId="267B3923" w:rsidR="00E01A0E" w:rsidRPr="009521C1" w:rsidRDefault="00E01A0E" w:rsidP="00E01A0E">
      <w:pPr>
        <w:pStyle w:val="Sinespaciado"/>
        <w:ind w:left="720"/>
        <w:jc w:val="center"/>
        <w:rPr>
          <w:rFonts w:ascii="Arial" w:hAnsi="Arial" w:cs="Arial"/>
          <w:b/>
          <w:bCs/>
          <w:sz w:val="24"/>
          <w:szCs w:val="24"/>
        </w:rPr>
      </w:pPr>
      <w:r w:rsidRPr="009521C1">
        <w:rPr>
          <w:rFonts w:ascii="Arial" w:hAnsi="Arial" w:cs="Arial"/>
          <w:b/>
          <w:bCs/>
          <w:sz w:val="24"/>
          <w:szCs w:val="24"/>
        </w:rPr>
        <w:t>PROPOSICI</w:t>
      </w:r>
      <w:r w:rsidR="00E52CF7">
        <w:rPr>
          <w:rFonts w:ascii="Arial" w:hAnsi="Arial" w:cs="Arial"/>
          <w:b/>
          <w:bCs/>
          <w:sz w:val="24"/>
          <w:szCs w:val="24"/>
        </w:rPr>
        <w:t>ÓN DE MODIFICACIÓN</w:t>
      </w:r>
    </w:p>
    <w:p w14:paraId="0AD03A25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734427C6" w14:textId="7EE35D70" w:rsidR="00E52CF7" w:rsidRDefault="00E52CF7" w:rsidP="00E52CF7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</w:rPr>
        <w:t>Modifíquese</w:t>
      </w:r>
      <w:r>
        <w:rPr>
          <w:rFonts w:ascii="Arial" w:hAnsi="Arial" w:cs="Arial"/>
          <w:sz w:val="24"/>
          <w:szCs w:val="24"/>
          <w:lang w:val="es-ES"/>
        </w:rPr>
        <w:t xml:space="preserve"> el artículo 17° del Proyecto de Ley 311 de 2024 Senado, 166 de 2023 Cámara Acumulado con los Proyectos de Ley No. 192 de 2023 Cámara y No. 256 de 2023 Cámara “Por medio del cual se modifica parcialmente normas laborales y se adopta una reforma laboral para el trabajo decente y digno en Colombia”., el cual quedará así: </w:t>
      </w:r>
    </w:p>
    <w:p w14:paraId="23209262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123795F4" w14:textId="0E8558D6" w:rsidR="00E52CF7" w:rsidRPr="00E52CF7" w:rsidRDefault="00E52CF7" w:rsidP="00E01A0E">
      <w:pPr>
        <w:pStyle w:val="Sinespaciado"/>
        <w:jc w:val="both"/>
        <w:rPr>
          <w:rFonts w:ascii="Arial" w:hAnsi="Arial" w:cs="Arial"/>
          <w:strike/>
          <w:sz w:val="24"/>
          <w:szCs w:val="24"/>
          <w:u w:val="single"/>
        </w:rPr>
      </w:pPr>
      <w:r w:rsidRPr="00E52CF7">
        <w:rPr>
          <w:rFonts w:ascii="Arial" w:hAnsi="Arial" w:cs="Arial"/>
          <w:b/>
          <w:bCs/>
          <w:sz w:val="24"/>
          <w:szCs w:val="24"/>
        </w:rPr>
        <w:t>ARTÍCULO 17. Prima adicional por crecimiento económico.</w:t>
      </w:r>
      <w:r w:rsidRPr="00E52CF7">
        <w:rPr>
          <w:rFonts w:ascii="Arial" w:hAnsi="Arial" w:cs="Arial"/>
          <w:sz w:val="24"/>
          <w:szCs w:val="24"/>
        </w:rPr>
        <w:t xml:space="preserve"> </w:t>
      </w:r>
      <w:r w:rsidRPr="000718F0">
        <w:rPr>
          <w:rFonts w:ascii="Arial" w:hAnsi="Arial" w:cs="Arial"/>
          <w:sz w:val="24"/>
          <w:szCs w:val="24"/>
        </w:rPr>
        <w:t xml:space="preserve">Adicionalmente de la prima legal contemplada, y aquellas extralegales o convencionales, pactadas entre empleadores y trabajadores, dentro del contrato de trabajo, las partes deben estipular una prima legal </w:t>
      </w:r>
      <w:r w:rsidRPr="00E82095">
        <w:rPr>
          <w:rFonts w:ascii="Arial" w:hAnsi="Arial" w:cs="Arial"/>
          <w:sz w:val="24"/>
          <w:szCs w:val="24"/>
        </w:rPr>
        <w:t>adicional por crecimiento económico</w:t>
      </w:r>
      <w:r w:rsidRPr="00E52CF7">
        <w:rPr>
          <w:rFonts w:ascii="Arial" w:hAnsi="Arial" w:cs="Arial"/>
          <w:strike/>
          <w:sz w:val="24"/>
          <w:szCs w:val="24"/>
        </w:rPr>
        <w:t xml:space="preserve"> del empleador, cuando este sea superior al cuatro por ciento (4%) respecto del ejercicio económico contable del empleador el año inmediatamente anterior.</w:t>
      </w:r>
      <w:r>
        <w:rPr>
          <w:rFonts w:ascii="Arial" w:hAnsi="Arial" w:cs="Arial"/>
          <w:sz w:val="24"/>
          <w:szCs w:val="24"/>
        </w:rPr>
        <w:t xml:space="preserve"> </w:t>
      </w:r>
      <w:r w:rsidR="000718F0">
        <w:rPr>
          <w:rFonts w:ascii="Arial" w:hAnsi="Arial" w:cs="Arial"/>
          <w:sz w:val="24"/>
          <w:szCs w:val="24"/>
          <w:u w:val="single"/>
        </w:rPr>
        <w:t xml:space="preserve">que </w:t>
      </w:r>
      <w:r w:rsidRPr="00E52CF7">
        <w:rPr>
          <w:rFonts w:ascii="Arial" w:hAnsi="Arial" w:cs="Arial"/>
          <w:sz w:val="24"/>
          <w:szCs w:val="24"/>
          <w:u w:val="single"/>
        </w:rPr>
        <w:t>será reconocida por el empleador únicamente cuando la empresa registre un incremento anual superior al seis por ciento (6%) en su utilidad neta</w:t>
      </w:r>
      <w:r w:rsidR="000718F0">
        <w:rPr>
          <w:rFonts w:ascii="Arial" w:hAnsi="Arial" w:cs="Arial"/>
          <w:sz w:val="24"/>
          <w:szCs w:val="24"/>
          <w:u w:val="single"/>
        </w:rPr>
        <w:t xml:space="preserve"> del año inmediatamente anterior</w:t>
      </w:r>
      <w:r w:rsidRPr="00E52CF7">
        <w:rPr>
          <w:rFonts w:ascii="Arial" w:hAnsi="Arial" w:cs="Arial"/>
          <w:sz w:val="24"/>
          <w:szCs w:val="24"/>
          <w:u w:val="single"/>
        </w:rPr>
        <w:t>. Esta prima no constituirá factor salarial.</w:t>
      </w:r>
    </w:p>
    <w:p w14:paraId="4F57AEB0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25EE62CB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 xml:space="preserve">Dicha prima estará sujeta a una reducción de impuestos al empleador, que reglamentará el gobierno nacional. </w:t>
      </w:r>
    </w:p>
    <w:p w14:paraId="463781DC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2335FA0C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 xml:space="preserve">El empleador y el trabajador podrán de mutuo acuerdo diferir el pago de la prima. </w:t>
      </w:r>
    </w:p>
    <w:p w14:paraId="1ECAA78D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5F9104DA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 xml:space="preserve">Tomando en consideración la clasificación de las empresas, micro, pequeñas, medianas y grandes, se tendrá en cuenta lo siguiente: </w:t>
      </w:r>
    </w:p>
    <w:p w14:paraId="54BD768E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16DE5463" w14:textId="00BE56D4" w:rsidR="00E52CF7" w:rsidRDefault="00E52CF7" w:rsidP="00E52CF7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 xml:space="preserve">El 20% de un SMLMV para las microempresas y empleadores personas naturales. </w:t>
      </w:r>
    </w:p>
    <w:p w14:paraId="4FAC525A" w14:textId="77777777" w:rsidR="00E52CF7" w:rsidRDefault="00E52CF7" w:rsidP="00E52CF7">
      <w:pPr>
        <w:pStyle w:val="Sinespaciado"/>
        <w:ind w:firstLine="708"/>
        <w:jc w:val="both"/>
        <w:rPr>
          <w:rFonts w:ascii="Arial" w:hAnsi="Arial" w:cs="Arial"/>
          <w:sz w:val="24"/>
          <w:szCs w:val="24"/>
        </w:rPr>
      </w:pPr>
    </w:p>
    <w:p w14:paraId="5086A25D" w14:textId="34FC90C9" w:rsidR="00E52CF7" w:rsidRDefault="00E52CF7" w:rsidP="00E52CF7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 xml:space="preserve"> El 30% de un SMLMV para las pequeñas y medianas empresas. </w:t>
      </w:r>
    </w:p>
    <w:p w14:paraId="6D524848" w14:textId="77777777" w:rsidR="00E52CF7" w:rsidRDefault="00E52CF7" w:rsidP="00E52CF7">
      <w:pPr>
        <w:pStyle w:val="Sinespaciado"/>
        <w:ind w:firstLine="708"/>
        <w:jc w:val="both"/>
        <w:rPr>
          <w:rFonts w:ascii="Arial" w:hAnsi="Arial" w:cs="Arial"/>
          <w:sz w:val="24"/>
          <w:szCs w:val="24"/>
        </w:rPr>
      </w:pPr>
    </w:p>
    <w:p w14:paraId="4095A14C" w14:textId="75BE29CC" w:rsidR="00E52CF7" w:rsidRDefault="00E52CF7" w:rsidP="00E52CF7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sz w:val="24"/>
          <w:szCs w:val="24"/>
        </w:rPr>
        <w:t>El 40% de un SMLMV para las grandes empresas.</w:t>
      </w:r>
    </w:p>
    <w:p w14:paraId="4F406DB9" w14:textId="77777777" w:rsidR="00E52CF7" w:rsidRPr="00E52CF7" w:rsidRDefault="00E52CF7" w:rsidP="00E52CF7">
      <w:pPr>
        <w:pStyle w:val="Sinespaciado"/>
        <w:ind w:left="720"/>
        <w:jc w:val="both"/>
        <w:rPr>
          <w:rFonts w:ascii="Arial" w:hAnsi="Arial" w:cs="Arial"/>
          <w:sz w:val="24"/>
          <w:szCs w:val="24"/>
        </w:rPr>
      </w:pPr>
    </w:p>
    <w:p w14:paraId="5917AA09" w14:textId="1BF236BA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 xml:space="preserve">El Ministerio del Trabajo en colaboración con </w:t>
      </w:r>
      <w:r>
        <w:rPr>
          <w:rFonts w:ascii="Arial" w:hAnsi="Arial" w:cs="Arial"/>
          <w:sz w:val="24"/>
          <w:szCs w:val="24"/>
        </w:rPr>
        <w:t>e</w:t>
      </w:r>
      <w:r w:rsidRPr="00E52CF7">
        <w:rPr>
          <w:rFonts w:ascii="Arial" w:hAnsi="Arial" w:cs="Arial"/>
          <w:sz w:val="24"/>
          <w:szCs w:val="24"/>
        </w:rPr>
        <w:t>l Gobierno nacional, reglamentará</w:t>
      </w:r>
      <w:r>
        <w:rPr>
          <w:rFonts w:ascii="Arial" w:hAnsi="Arial" w:cs="Arial"/>
          <w:sz w:val="24"/>
          <w:szCs w:val="24"/>
          <w:u w:val="single"/>
        </w:rPr>
        <w:t>n</w:t>
      </w:r>
      <w:r w:rsidRPr="00E52CF7">
        <w:rPr>
          <w:rFonts w:ascii="Arial" w:hAnsi="Arial" w:cs="Arial"/>
          <w:sz w:val="24"/>
          <w:szCs w:val="24"/>
        </w:rPr>
        <w:t xml:space="preserve"> la forma en cómo debe medirse el crecimiento económico y la productividad de los empleadores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y evitar manipulaciones contables</w:t>
      </w:r>
      <w:r w:rsidRPr="00E52CF7">
        <w:rPr>
          <w:rFonts w:ascii="Arial" w:hAnsi="Arial" w:cs="Arial"/>
          <w:sz w:val="24"/>
          <w:szCs w:val="24"/>
        </w:rPr>
        <w:t xml:space="preserve">, para la </w:t>
      </w:r>
      <w:proofErr w:type="spellStart"/>
      <w:r w:rsidRPr="00E52CF7">
        <w:rPr>
          <w:rFonts w:ascii="Arial" w:hAnsi="Arial" w:cs="Arial"/>
          <w:sz w:val="24"/>
          <w:szCs w:val="24"/>
        </w:rPr>
        <w:t>causación</w:t>
      </w:r>
      <w:proofErr w:type="spellEnd"/>
      <w:r w:rsidRPr="00E52CF7">
        <w:rPr>
          <w:rFonts w:ascii="Arial" w:hAnsi="Arial" w:cs="Arial"/>
          <w:sz w:val="24"/>
          <w:szCs w:val="24"/>
        </w:rPr>
        <w:t xml:space="preserve"> de esta prima de crecimiento económico. </w:t>
      </w:r>
    </w:p>
    <w:p w14:paraId="18B37361" w14:textId="77777777" w:rsid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14:paraId="1AA4A227" w14:textId="584B3AB2" w:rsidR="00E52CF7" w:rsidRPr="00E52CF7" w:rsidRDefault="00E52CF7" w:rsidP="00E01A0E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E52CF7">
        <w:rPr>
          <w:rFonts w:ascii="Arial" w:hAnsi="Arial" w:cs="Arial"/>
          <w:b/>
          <w:bCs/>
          <w:sz w:val="24"/>
          <w:szCs w:val="24"/>
        </w:rPr>
        <w:t>Parágrafo.</w:t>
      </w:r>
      <w:r w:rsidRPr="00E52CF7">
        <w:rPr>
          <w:rFonts w:ascii="Arial" w:hAnsi="Arial" w:cs="Arial"/>
          <w:sz w:val="24"/>
          <w:szCs w:val="24"/>
        </w:rPr>
        <w:t xml:space="preserve"> El presente artículo empezará su vigencia y reglamentación el 1 de enero de 2027.</w:t>
      </w:r>
    </w:p>
    <w:p w14:paraId="5D85F1F9" w14:textId="77777777" w:rsidR="00E52CF7" w:rsidRDefault="00E52CF7" w:rsidP="00E01A0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4EB479C5" w14:textId="2E9A6FC6" w:rsidR="00E01A0E" w:rsidRDefault="00E01A0E"/>
    <w:p w14:paraId="75BEDB77" w14:textId="35F64A95" w:rsidR="00E01A0E" w:rsidRDefault="00E01A0E"/>
    <w:p w14:paraId="1961667E" w14:textId="4C9923C8" w:rsidR="00E01A0E" w:rsidRDefault="002C6589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bookmarkStart w:id="0" w:name="_Hlk200026767"/>
      <w:r>
        <w:rPr>
          <w:noProof/>
        </w:rPr>
        <w:drawing>
          <wp:anchor distT="0" distB="0" distL="114300" distR="114300" simplePos="0" relativeHeight="251658240" behindDoc="1" locked="0" layoutInCell="1" allowOverlap="1" wp14:anchorId="4295C935" wp14:editId="525F1948">
            <wp:simplePos x="0" y="0"/>
            <wp:positionH relativeFrom="margin">
              <wp:posOffset>-121920</wp:posOffset>
            </wp:positionH>
            <wp:positionV relativeFrom="paragraph">
              <wp:posOffset>190500</wp:posOffset>
            </wp:positionV>
            <wp:extent cx="1882140" cy="1079500"/>
            <wp:effectExtent l="0" t="0" r="3810" b="6350"/>
            <wp:wrapNone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5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colorTemperature colorTemp="6357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107950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1A0E">
        <w:rPr>
          <w:rFonts w:ascii="Arial" w:hAnsi="Arial" w:cs="Arial"/>
          <w:sz w:val="24"/>
          <w:szCs w:val="24"/>
          <w:lang w:val="es-ES"/>
        </w:rPr>
        <w:t>Atentamente,</w:t>
      </w:r>
    </w:p>
    <w:p w14:paraId="29FE9C9B" w14:textId="77777777" w:rsidR="002C6589" w:rsidRDefault="002C6589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48A5A798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161B586C" w14:textId="4B4049C8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E5CF1B0" w14:textId="7A359D48" w:rsidR="002C6589" w:rsidRDefault="002C6589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21BF7C9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5FD979C" w14:textId="77777777" w:rsidR="00E01A0E" w:rsidRPr="00E3165D" w:rsidRDefault="00E01A0E" w:rsidP="00E01A0E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CIRO ALEJANDRO RAMIREZ CORTES </w:t>
      </w:r>
    </w:p>
    <w:p w14:paraId="1CAE215A" w14:textId="77777777" w:rsidR="00E01A0E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SENADOR DE LA REPÚBLICA</w:t>
      </w:r>
    </w:p>
    <w:p w14:paraId="5F423FE7" w14:textId="77777777" w:rsidR="00E01A0E" w:rsidRPr="00E3165D" w:rsidRDefault="00E01A0E" w:rsidP="00E01A0E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CENTRO DEMOCRÁTICO</w:t>
      </w:r>
      <w:bookmarkEnd w:id="0"/>
    </w:p>
    <w:p w14:paraId="449814C3" w14:textId="224647BD" w:rsidR="00E01A0E" w:rsidRPr="00E82095" w:rsidRDefault="00E82095" w:rsidP="00E82095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Correo: ciro.ramirezcortes@senado.gov.co</w:t>
      </w:r>
    </w:p>
    <w:sectPr w:rsidR="00E01A0E" w:rsidRPr="00E820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55700"/>
    <w:multiLevelType w:val="hybridMultilevel"/>
    <w:tmpl w:val="E66089D4"/>
    <w:lvl w:ilvl="0" w:tplc="68BA033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8F2F4F"/>
    <w:multiLevelType w:val="hybridMultilevel"/>
    <w:tmpl w:val="A6FC91E2"/>
    <w:lvl w:ilvl="0" w:tplc="ECC4CEE4">
      <w:start w:val="1"/>
      <w:numFmt w:val="lowerLetter"/>
      <w:lvlText w:val="%1-"/>
      <w:lvlJc w:val="left"/>
      <w:pPr>
        <w:ind w:left="720" w:hanging="360"/>
      </w:pPr>
      <w:rPr>
        <w:rFonts w:hint="default"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CA74C0"/>
    <w:multiLevelType w:val="hybridMultilevel"/>
    <w:tmpl w:val="631201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A0E"/>
    <w:rsid w:val="000718F0"/>
    <w:rsid w:val="002C6589"/>
    <w:rsid w:val="00BA3C28"/>
    <w:rsid w:val="00E01A0E"/>
    <w:rsid w:val="00E52CF7"/>
    <w:rsid w:val="00E82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9A96"/>
  <w15:chartTrackingRefBased/>
  <w15:docId w15:val="{428CF5A3-7DB4-45EE-8E7E-311C9C4C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01A0E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E01A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350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zuñiga</dc:creator>
  <cp:keywords/>
  <dc:description/>
  <cp:lastModifiedBy>martha zuñiga</cp:lastModifiedBy>
  <cp:revision>8</cp:revision>
  <dcterms:created xsi:type="dcterms:W3CDTF">2025-06-05T19:40:00Z</dcterms:created>
  <dcterms:modified xsi:type="dcterms:W3CDTF">2025-06-06T11:37:00Z</dcterms:modified>
</cp:coreProperties>
</file>